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left="156" w:right="8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X</w:t>
      </w:r>
    </w:p>
    <w:p>
      <w:pPr>
        <w:pStyle w:val="BodyText"/>
        <w:ind w:left="156" w:right="77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DEPARTAMENTO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INFRAESTRUCTURA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SOPORTE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TECNOLÓGICO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92" w:right="112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16.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Infraestructura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Soporte</w:t>
      </w:r>
      <w:r>
        <w:rPr>
          <w:rFonts w:ascii="Times New Roman" w:hAnsi="Times New Roman"/>
        </w:rPr>
        <w:t> </w:t>
      </w:r>
      <w:r>
        <w:rPr>
          <w:b w:val="0"/>
        </w:rPr>
        <w:t>Tecnológico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Tecnologías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Comunicación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233" w:after="0"/>
        <w:ind w:left="19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Administrar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informáticos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garanticen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tecnológica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281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40" w:lineRule="auto" w:before="233" w:after="0"/>
        <w:ind w:left="19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Administrar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dominio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web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proveer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6"/>
          <w:sz w:val="20"/>
        </w:rPr>
        <w:t> </w:t>
      </w:r>
      <w:r>
        <w:rPr>
          <w:b w:val="0"/>
          <w:sz w:val="20"/>
        </w:rPr>
        <w:t>servicio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correo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electrónico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institucional;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0" w:after="0"/>
        <w:ind w:left="192" w:right="111" w:firstLine="0"/>
        <w:jc w:val="left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controles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lógica,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perimetral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redes,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acceso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Internet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datos;</w:t>
      </w:r>
    </w:p>
    <w:p>
      <w:pPr>
        <w:spacing w:before="1"/>
        <w:ind w:left="72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19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políticas,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metodologías,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adopción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mejores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prácticas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mesa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apoyen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conferidas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line="186" w:lineRule="exact" w:before="0"/>
        <w:ind w:left="72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1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92" w:val="left" w:leader="none"/>
          <w:tab w:pos="537" w:val="left" w:leader="none"/>
        </w:tabs>
        <w:spacing w:line="240" w:lineRule="auto" w:before="1" w:after="0"/>
        <w:ind w:left="19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correctivo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tecnológica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0" w:lineRule="auto" w:before="233" w:after="0"/>
        <w:ind w:left="19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Anticorrupción;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0" w:after="0"/>
        <w:ind w:left="695" w:right="0" w:hanging="50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233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0" w:after="0"/>
        <w:ind w:left="55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1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9" w:right="0" w:hanging="27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192" w:val="left" w:leader="none"/>
          <w:tab w:pos="550" w:val="left" w:leader="none"/>
        </w:tabs>
        <w:spacing w:line="240" w:lineRule="auto" w:before="234" w:after="0"/>
        <w:ind w:left="19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Apoyar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0" w:lineRule="auto" w:before="0" w:after="0"/>
        <w:ind w:left="62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92" w:val="left" w:leader="none"/>
          <w:tab w:pos="707" w:val="left" w:leader="none"/>
        </w:tabs>
        <w:spacing w:line="256" w:lineRule="auto" w:before="1" w:after="0"/>
        <w:ind w:left="19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mantener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actualizado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interno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i/>
          <w:sz w:val="20"/>
        </w:rPr>
        <w:t>software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disponible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after="0" w:line="256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940" w:right="1020"/>
          <w:pgNumType w:start="1"/>
        </w:sectPr>
      </w:pPr>
    </w:p>
    <w:p>
      <w:pPr>
        <w:spacing w:before="90"/>
        <w:ind w:left="6228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92" w:val="left" w:leader="none"/>
          <w:tab w:pos="693" w:val="left" w:leader="none"/>
        </w:tabs>
        <w:spacing w:line="240" w:lineRule="auto" w:before="0" w:after="0"/>
        <w:ind w:left="19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mantener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equipos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componentes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cómputo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BodyText"/>
        <w:spacing w:before="5"/>
        <w:rPr>
          <w:b w:val="0"/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278" w:footer="1101" w:top="1740" w:bottom="1300" w:left="940" w:right="1020"/>
        </w:sectPr>
      </w:pP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99" w:after="0"/>
        <w:ind w:left="612" w:right="0" w:hanging="42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pStyle w:val="BodyText"/>
        <w:spacing w:before="14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0" w:after="0"/>
        <w:ind w:left="694" w:right="0" w:hanging="502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line="240" w:lineRule="auto" w:before="146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spacing w:before="0"/>
        <w:ind w:left="19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  <w:sz w:val="16"/>
        </w:rPr>
      </w:pPr>
    </w:p>
    <w:p>
      <w:pPr>
        <w:pStyle w:val="BodyText"/>
        <w:spacing w:before="49"/>
        <w:rPr>
          <w:b w:val="0"/>
          <w:i/>
          <w:sz w:val="16"/>
        </w:rPr>
      </w:pPr>
    </w:p>
    <w:p>
      <w:pPr>
        <w:spacing w:before="0"/>
        <w:ind w:left="19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740" w:bottom="1300" w:left="940" w:right="1020"/>
          <w:cols w:num="2" w:equalWidth="0">
            <w:col w:w="1727" w:space="5367"/>
            <w:col w:w="3186"/>
          </w:cols>
        </w:sectPr>
      </w:pPr>
    </w:p>
    <w:p>
      <w:pPr>
        <w:pStyle w:val="ListParagraph"/>
        <w:numPr>
          <w:ilvl w:val="0"/>
          <w:numId w:val="1"/>
        </w:numPr>
        <w:tabs>
          <w:tab w:pos="192" w:val="left" w:leader="none"/>
          <w:tab w:pos="695" w:val="left" w:leader="none"/>
        </w:tabs>
        <w:spacing w:line="240" w:lineRule="auto" w:before="186" w:after="0"/>
        <w:ind w:left="192" w:right="115" w:hanging="77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técnico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equipo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informático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asignado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servidora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solicitado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ind w:left="192" w:right="151" w:hanging="1"/>
        <w:rPr>
          <w:b w:val="0"/>
        </w:rPr>
      </w:pPr>
      <w:r>
        <w:rPr>
          <w:b/>
        </w:rPr>
        <w:t>XVII</w:t>
      </w:r>
      <w:r>
        <w:rPr>
          <w:rFonts w:ascii="Times New Roman" w:hAnsi="Times New Roman"/>
        </w:rPr>
        <w:t> </w:t>
      </w:r>
      <w:r>
        <w:rPr>
          <w:b/>
        </w:rPr>
        <w:t>Bis.</w:t>
      </w:r>
      <w:r>
        <w:rPr>
          <w:rFonts w:ascii="Times New Roman" w:hAnsi="Times New Roman"/>
        </w:rPr>
        <w:t> </w:t>
      </w:r>
      <w:r>
        <w:rPr>
          <w:b w:val="0"/>
        </w:rPr>
        <w:t>Atender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manera</w:t>
      </w:r>
      <w:r>
        <w:rPr>
          <w:rFonts w:ascii="Times New Roman" w:hAnsi="Times New Roman"/>
        </w:rPr>
        <w:t> </w:t>
      </w:r>
      <w:r>
        <w:rPr>
          <w:b w:val="0"/>
        </w:rPr>
        <w:t>óptima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solicitudes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asistencia</w:t>
      </w:r>
      <w:r>
        <w:rPr>
          <w:rFonts w:ascii="Times New Roman" w:hAnsi="Times New Roman"/>
        </w:rPr>
        <w:t> </w:t>
      </w:r>
      <w:r>
        <w:rPr>
          <w:b w:val="0"/>
        </w:rPr>
        <w:t>técnica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materia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tecnologías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comunicaciones,</w:t>
      </w:r>
      <w:r>
        <w:rPr>
          <w:rFonts w:ascii="Times New Roman" w:hAnsi="Times New Roman"/>
        </w:rPr>
        <w:t> </w:t>
      </w:r>
      <w:r>
        <w:rPr>
          <w:b w:val="0"/>
        </w:rPr>
        <w:t>registradas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mesa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ayuda;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192" w:val="left" w:leader="none"/>
          <w:tab w:pos="912" w:val="left" w:leader="none"/>
        </w:tabs>
        <w:spacing w:line="259" w:lineRule="auto" w:before="186" w:after="0"/>
        <w:ind w:left="19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Proporcionar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impresión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movimientos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tecnológica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Departamento,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certificarla;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2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92" w:val="left" w:leader="none"/>
          <w:tab w:pos="718" w:val="left" w:leader="none"/>
        </w:tabs>
        <w:spacing w:line="259" w:lineRule="auto" w:before="1" w:after="0"/>
        <w:ind w:left="19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tecnológico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petición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92" w:val="left" w:leader="none"/>
          <w:tab w:pos="657" w:val="left" w:leader="none"/>
        </w:tabs>
        <w:spacing w:line="240" w:lineRule="auto" w:before="187" w:after="0"/>
        <w:ind w:left="19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295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XVIII.)</w:t>
      </w:r>
      <w:r>
        <w:rPr>
          <w:rFonts w:ascii="Times New Roman" w:hAnsi="Times New Roman"/>
          <w:color w:val="2D73B5"/>
          <w:spacing w:val="6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type w:val="continuous"/>
      <w:pgSz w:w="12240" w:h="15840"/>
      <w:pgMar w:header="278" w:footer="1101" w:top="1740" w:bottom="1300" w:left="9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92" w:hanging="204"/>
        <w:jc w:val="righ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2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5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92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2024-11-07T16:12:33Z</dcterms:created>
  <dcterms:modified xsi:type="dcterms:W3CDTF">2024-11-07T16:12:33Z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