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11"/>
        </w:rPr>
        <w:t> </w:t>
      </w:r>
      <w:r>
        <w:rPr>
          <w:b/>
          <w:spacing w:val="-2"/>
        </w:rPr>
        <w:t>NOVENO</w:t>
      </w:r>
    </w:p>
    <w:p>
      <w:pPr>
        <w:pStyle w:val="BodyText"/>
        <w:ind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</w:t>
      </w:r>
      <w:r>
        <w:rPr>
          <w:rFonts w:ascii="Times New Roman"/>
          <w:spacing w:val="15"/>
        </w:rPr>
        <w:t> </w:t>
      </w:r>
      <w:r>
        <w:rPr>
          <w:b/>
        </w:rPr>
        <w:t>UNIDAD</w:t>
      </w:r>
      <w:r>
        <w:rPr>
          <w:rFonts w:ascii="Times New Roman"/>
          <w:spacing w:val="13"/>
        </w:rPr>
        <w:t> </w:t>
      </w:r>
      <w:r>
        <w:rPr>
          <w:b/>
        </w:rPr>
        <w:t>DE</w:t>
      </w:r>
      <w:r>
        <w:rPr>
          <w:rFonts w:ascii="Times New Roman"/>
          <w:spacing w:val="14"/>
        </w:rPr>
        <w:t> </w:t>
      </w:r>
      <w:r>
        <w:rPr>
          <w:b/>
          <w:spacing w:val="-2"/>
        </w:rPr>
        <w:t>SEGUIMIENTO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DEL</w:t>
      </w:r>
      <w:r>
        <w:rPr>
          <w:rFonts w:ascii="Times New Roman"/>
          <w:spacing w:val="12"/>
        </w:rPr>
        <w:t> </w:t>
      </w:r>
      <w:r>
        <w:rPr>
          <w:b/>
        </w:rPr>
        <w:t>TITULAR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4"/>
        </w:rPr>
        <w:t> </w:t>
      </w:r>
      <w:r>
        <w:rPr>
          <w:b/>
        </w:rPr>
        <w:t>LA</w:t>
      </w:r>
      <w:r>
        <w:rPr>
          <w:rFonts w:ascii="Times New Roman"/>
          <w:spacing w:val="15"/>
        </w:rPr>
        <w:t> </w:t>
      </w:r>
      <w:r>
        <w:rPr>
          <w:b/>
        </w:rPr>
        <w:t>UNIDAD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3"/>
        </w:rPr>
        <w:t> </w:t>
      </w:r>
      <w:r>
        <w:rPr>
          <w:b/>
          <w:spacing w:val="-2"/>
        </w:rPr>
        <w:t>SEGUIMIENTO</w:t>
      </w:r>
    </w:p>
    <w:p>
      <w:pPr>
        <w:pStyle w:val="BodyText"/>
        <w:spacing w:before="234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47.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través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8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59" w:lineRule="auto" w:before="0" w:after="0"/>
        <w:ind w:left="112" w:right="111" w:firstLine="0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recepción,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emitidos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6148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recomendaciones;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instruir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  <w:tab w:pos="1646" w:val="left" w:leader="none"/>
          <w:tab w:pos="2121" w:val="left" w:leader="none"/>
          <w:tab w:pos="2992" w:val="left" w:leader="none"/>
          <w:tab w:pos="5049" w:val="left" w:leader="none"/>
        </w:tabs>
        <w:spacing w:line="240" w:lineRule="auto" w:before="0" w:after="0"/>
        <w:ind w:left="112" w:right="11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Autorizar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4"/>
          <w:sz w:val="20"/>
        </w:rPr>
        <w:t>los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pliegos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50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encausar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adecuadamente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79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autorizar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34" w:lineRule="exact" w:before="181" w:after="0"/>
        <w:ind w:left="471" w:right="0" w:hanging="359"/>
        <w:jc w:val="both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conclusión;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18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implementado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4"/>
          <w:w w:val="15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75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4"/>
          <w:w w:val="150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75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5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w w:val="150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4"/>
          <w:w w:val="15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pacing w:val="-2"/>
          <w:sz w:val="20"/>
        </w:rPr>
        <w:t>administrativa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/>
        <w:rPr>
          <w:b w:val="0"/>
        </w:rPr>
      </w:pPr>
      <w:r>
        <w:rPr>
          <w:b w:val="0"/>
          <w:spacing w:val="-2"/>
        </w:rPr>
        <w:t>sancionatoria;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178" w:after="0"/>
        <w:ind w:left="112" w:right="117" w:hanging="1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formuladas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233"/>
        <w:ind w:left="112"/>
        <w:rPr>
          <w:b w:val="0"/>
        </w:rPr>
      </w:pPr>
      <w:r>
        <w:rPr>
          <w:b w:val="0"/>
        </w:rPr>
        <w:t>Autorizar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notificación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recomendaciones</w:t>
      </w:r>
      <w:r>
        <w:rPr>
          <w:rFonts w:ascii="Times New Roman" w:hAnsi="Times New Roman"/>
        </w:rPr>
        <w:t> </w:t>
      </w:r>
      <w:r>
        <w:rPr>
          <w:b w:val="0"/>
        </w:rPr>
        <w:t>no</w:t>
      </w:r>
      <w:r>
        <w:rPr>
          <w:rFonts w:ascii="Times New Roman" w:hAnsi="Times New Roman"/>
        </w:rPr>
        <w:t> </w:t>
      </w:r>
      <w:r>
        <w:rPr>
          <w:b w:val="0"/>
        </w:rPr>
        <w:t>atendidas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implementadas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plazos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términos</w:t>
      </w:r>
      <w:r>
        <w:rPr>
          <w:rFonts w:ascii="Times New Roman" w:hAnsi="Times New Roman"/>
        </w:rPr>
        <w:t> </w:t>
      </w:r>
      <w:r>
        <w:rPr>
          <w:b w:val="0"/>
        </w:rPr>
        <w:t>convenidos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</w:rPr>
        <w:t> </w:t>
      </w:r>
      <w:r>
        <w:rPr>
          <w:b w:val="0"/>
        </w:rPr>
        <w:t>órganos</w:t>
      </w:r>
      <w:r>
        <w:rPr>
          <w:rFonts w:ascii="Times New Roman" w:hAnsi="Times New Roman"/>
        </w:rPr>
        <w:t> </w:t>
      </w:r>
      <w:r>
        <w:rPr>
          <w:b w:val="0"/>
        </w:rPr>
        <w:t>internos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control;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adicionado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502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233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Remitir,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tramitación,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10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0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7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2024-11-07T17:10:56Z</dcterms:created>
  <dcterms:modified xsi:type="dcterms:W3CDTF">2024-11-07T17:10:56Z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