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97"/>
        <w:ind w:left="0"/>
        <w:rPr>
          <w:rFonts w:ascii="Times New Roman"/>
        </w:rPr>
      </w:pPr>
    </w:p>
    <w:p>
      <w:pPr>
        <w:pStyle w:val="BodyText"/>
        <w:ind w:left="12" w:right="1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</w:t>
      </w:r>
    </w:p>
    <w:p>
      <w:pPr>
        <w:pStyle w:val="BodyText"/>
        <w:spacing w:line="256" w:lineRule="auto" w:before="19"/>
        <w:ind w:left="8" w:right="14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DIRECCIONES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REVISIÓN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INFORMACIÓN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ENTIDADES</w:t>
      </w:r>
      <w:r>
        <w:rPr>
          <w:rFonts w:ascii="Times New Roman" w:hAnsi="Times New Roman"/>
        </w:rPr>
        <w:t> </w:t>
      </w:r>
      <w:r>
        <w:rPr>
          <w:b/>
        </w:rPr>
        <w:t>FISCALIZABLES</w:t>
      </w:r>
      <w:r>
        <w:rPr>
          <w:rFonts w:ascii="Times New Roman" w:hAnsi="Times New Roman"/>
        </w:rPr>
        <w:t> </w:t>
      </w:r>
      <w:r>
        <w:rPr>
          <w:b/>
        </w:rPr>
        <w:t>“A”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“B”</w:t>
      </w:r>
    </w:p>
    <w:p>
      <w:pPr>
        <w:spacing w:before="4"/>
        <w:ind w:left="5735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Denominación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del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Capítulo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5"/>
        <w:ind w:left="0"/>
        <w:rPr>
          <w:b w:val="0"/>
          <w:i/>
          <w:sz w:val="16"/>
        </w:rPr>
      </w:pPr>
    </w:p>
    <w:p>
      <w:pPr>
        <w:pStyle w:val="BodyText"/>
        <w:ind w:right="111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32.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Revisión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Información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</w:t>
      </w:r>
      <w:r>
        <w:rPr>
          <w:rFonts w:ascii="Times New Roman" w:hAnsi="Times New Roman"/>
        </w:rPr>
        <w:t> </w:t>
      </w:r>
      <w:r>
        <w:rPr>
          <w:b w:val="0"/>
        </w:rPr>
        <w:t>“A”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“B”</w:t>
      </w:r>
      <w:r>
        <w:rPr>
          <w:rFonts w:ascii="Times New Roman" w:hAnsi="Times New Roman"/>
        </w:rPr>
        <w:t> </w:t>
      </w:r>
      <w:r>
        <w:rPr>
          <w:b w:val="0"/>
        </w:rPr>
        <w:t>estarán</w:t>
      </w:r>
      <w:r>
        <w:rPr>
          <w:rFonts w:ascii="Times New Roman" w:hAnsi="Times New Roman"/>
        </w:rPr>
        <w:t> </w:t>
      </w:r>
      <w:r>
        <w:rPr>
          <w:b w:val="0"/>
        </w:rPr>
        <w:t>adscritas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Especial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Revisión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Información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sus</w:t>
      </w:r>
      <w:r>
        <w:rPr>
          <w:rFonts w:ascii="Times New Roman" w:hAnsi="Times New Roman"/>
        </w:rPr>
        <w:t> </w:t>
      </w:r>
      <w:r>
        <w:rPr>
          <w:b w:val="0"/>
        </w:rPr>
        <w:t>titulares</w:t>
      </w:r>
      <w:r>
        <w:rPr>
          <w:rFonts w:ascii="Times New Roman" w:hAnsi="Times New Roman"/>
        </w:rPr>
        <w:t> </w:t>
      </w:r>
      <w:r>
        <w:rPr>
          <w:b w:val="0"/>
        </w:rPr>
        <w:t>tendrán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siguientes: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trimestrales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acordarlo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233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establecidos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encuentren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públicos;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75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avances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Agenda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Digital,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Agenda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remuneraciones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ajusten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catálogos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tabuladores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aprobados;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mecanismo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erradicar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violencia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niñas,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adolescentes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mujeres,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establecido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Acceso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Mujeres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una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Vida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Libre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Violencia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México;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234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234" w:after="0"/>
        <w:ind w:left="389" w:right="0" w:hanging="277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evolución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89" w:after="0"/>
        <w:ind w:left="471" w:right="0" w:hanging="359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pStyle w:val="BodyText"/>
        <w:spacing w:before="16"/>
        <w:ind w:left="0"/>
        <w:rPr>
          <w:b w:val="0"/>
          <w:sz w:val="16"/>
        </w:rPr>
      </w:pP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40" w:lineRule="auto" w:before="2" w:after="0"/>
        <w:ind w:left="549" w:right="0" w:hanging="437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pStyle w:val="BodyText"/>
        <w:spacing w:before="16"/>
        <w:ind w:left="0"/>
        <w:rPr>
          <w:b w:val="0"/>
          <w:sz w:val="16"/>
        </w:rPr>
      </w:pP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7" w:val="left" w:leader="none"/>
        </w:tabs>
        <w:spacing w:line="240" w:lineRule="auto" w:before="1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representante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participará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presidan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Familia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Presidentes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Municipales;</w:t>
      </w:r>
    </w:p>
    <w:p>
      <w:pPr>
        <w:spacing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7" w:hanging="1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sistematice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31" w:val="left" w:leader="none"/>
        </w:tabs>
        <w:spacing w:line="240" w:lineRule="auto" w:before="233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oportuna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riesgos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identificados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contenida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periódicas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formal;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bases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proveer,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Cédula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91" w:val="left" w:leader="none"/>
        </w:tabs>
        <w:spacing w:line="240" w:lineRule="auto" w:before="234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rinden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trimestrales;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70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oportuna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234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decisiones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CONAC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CACEM,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Gubernamental;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3" w:val="left" w:leader="none"/>
        </w:tabs>
        <w:spacing w:line="240" w:lineRule="auto" w:before="234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lineamientos,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instructivos,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entrega-recepción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8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240" w:lineRule="auto" w:before="0" w:after="0"/>
        <w:ind w:left="626" w:right="0" w:hanging="514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presentarlas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03" w:val="left" w:leader="none"/>
        </w:tabs>
        <w:spacing w:line="240" w:lineRule="auto" w:before="187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validación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Armonización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Contable,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Finanzas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Ejecutivo,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82" w:val="left" w:leader="none"/>
        </w:tabs>
        <w:spacing w:line="240" w:lineRule="auto" w:before="187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1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XXI.)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3920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676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2024-11-07T16:25:02Z</dcterms:created>
  <dcterms:modified xsi:type="dcterms:W3CDTF">2024-11-07T16:25:02Z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